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Pr="00457CC5" w:rsidRDefault="00E25A69" w:rsidP="00A33695">
      <w:pPr>
        <w:jc w:val="center"/>
        <w:rPr>
          <w:rFonts w:ascii="Times New Roman" w:hAnsi="Times New Roman"/>
          <w:b/>
          <w:sz w:val="24"/>
        </w:rPr>
      </w:pPr>
      <w:bookmarkStart w:id="0" w:name="_Toc262568021"/>
      <w:bookmarkStart w:id="1" w:name="_Toc295829847"/>
      <w:r w:rsidRPr="00457CC5">
        <w:rPr>
          <w:rFonts w:ascii="Times New Roman" w:hAnsi="Times New Roman"/>
          <w:b/>
          <w:sz w:val="24"/>
        </w:rPr>
        <w:t>BG</w:t>
      </w:r>
    </w:p>
    <w:p w14:paraId="07D2872A" w14:textId="77777777" w:rsidR="00E25A69" w:rsidRPr="00457CC5" w:rsidRDefault="00E25A69" w:rsidP="00A33695">
      <w:pPr>
        <w:jc w:val="center"/>
        <w:rPr>
          <w:rFonts w:ascii="Times New Roman" w:hAnsi="Times New Roman"/>
          <w:b/>
          <w:sz w:val="24"/>
        </w:rPr>
      </w:pPr>
    </w:p>
    <w:p w14:paraId="2325719B" w14:textId="72782FE6" w:rsidR="00047C1D" w:rsidRPr="00457CC5" w:rsidRDefault="00047C1D" w:rsidP="00A33695">
      <w:pPr>
        <w:jc w:val="center"/>
        <w:rPr>
          <w:rFonts w:ascii="Times New Roman" w:hAnsi="Times New Roman"/>
          <w:b/>
          <w:sz w:val="24"/>
        </w:rPr>
      </w:pPr>
      <w:r w:rsidRPr="00457CC5">
        <w:rPr>
          <w:rFonts w:ascii="Times New Roman" w:hAnsi="Times New Roman"/>
          <w:b/>
          <w:sz w:val="24"/>
        </w:rPr>
        <w:t>ПРИЛОЖЕНИЕ XII</w:t>
      </w:r>
    </w:p>
    <w:p w14:paraId="52460C1D" w14:textId="5185247E" w:rsidR="002648B0" w:rsidRPr="00457CC5" w:rsidRDefault="00047C1D" w:rsidP="00A33695">
      <w:pPr>
        <w:jc w:val="center"/>
        <w:rPr>
          <w:rFonts w:ascii="Times New Roman" w:hAnsi="Times New Roman"/>
          <w:b/>
          <w:sz w:val="24"/>
        </w:rPr>
      </w:pPr>
      <w:r w:rsidRPr="00457CC5">
        <w:rPr>
          <w:rFonts w:ascii="Times New Roman" w:hAnsi="Times New Roman"/>
          <w:b/>
          <w:sz w:val="24"/>
        </w:rPr>
        <w:t>„ПРИЛОЖЕНИЕ XXVII</w:t>
      </w:r>
    </w:p>
    <w:p w14:paraId="644BA8AC" w14:textId="2283CABE" w:rsidR="002648B0" w:rsidRPr="00457CC5" w:rsidRDefault="002648B0" w:rsidP="00C87CEE">
      <w:pPr>
        <w:jc w:val="center"/>
        <w:rPr>
          <w:rFonts w:ascii="Times New Roman" w:hAnsi="Times New Roman"/>
          <w:b/>
          <w:sz w:val="24"/>
        </w:rPr>
      </w:pPr>
      <w:r w:rsidRPr="00457CC5">
        <w:rPr>
          <w:rFonts w:ascii="Times New Roman" w:hAnsi="Times New Roman"/>
          <w:b/>
          <w:sz w:val="24"/>
        </w:rPr>
        <w:t xml:space="preserve">УКАЗАНИЯ ЗА ДОКЛАДВАНЕ НА ИНФОРМАЦИЯ ЗА ЦЕЛИТЕ НА ОПРЕДЕЛЯНЕТО НА Г-СЗИ И ПРИСЪЖДАНЕТО НА НИВАТА НА БУФЕР ЗА Г-СЗИ </w:t>
      </w:r>
    </w:p>
    <w:p w14:paraId="4592BD27" w14:textId="77777777" w:rsidR="00436204" w:rsidRPr="00457CC5" w:rsidRDefault="00436204" w:rsidP="00C87CEE">
      <w:pPr>
        <w:jc w:val="center"/>
        <w:rPr>
          <w:rFonts w:ascii="Times New Roman" w:hAnsi="Times New Roman"/>
          <w:b/>
          <w:sz w:val="24"/>
          <w:lang w:eastAsia="de-DE"/>
        </w:rPr>
      </w:pPr>
    </w:p>
    <w:p w14:paraId="296F65E0" w14:textId="77777777" w:rsidR="00783881" w:rsidRPr="00457CC5" w:rsidRDefault="002648B0" w:rsidP="002E755B">
      <w:pPr>
        <w:pStyle w:val="InstructionsText"/>
      </w:pPr>
      <w:r w:rsidRPr="00457CC5">
        <w:t>Съдържание</w:t>
      </w:r>
    </w:p>
    <w:p w14:paraId="74994D9E" w14:textId="0666EBAB" w:rsidR="00457CC5" w:rsidRPr="00457CC5" w:rsidRDefault="00745369">
      <w:pPr>
        <w:pStyle w:val="TOC2"/>
        <w:rPr>
          <w:rFonts w:asciiTheme="minorHAnsi" w:eastAsiaTheme="minorEastAsia" w:hAnsiTheme="minorHAnsi" w:cstheme="minorBidi"/>
          <w:b w:val="0"/>
          <w:smallCaps w:val="0"/>
          <w:kern w:val="2"/>
          <w:sz w:val="22"/>
          <w:lang w:eastAsia="en-GB"/>
          <w14:ligatures w14:val="standardContextual"/>
        </w:rPr>
      </w:pPr>
      <w:r w:rsidRPr="00457CC5">
        <w:rPr>
          <w:rFonts w:ascii="Times New Roman" w:hAnsi="Times New Roman"/>
          <w:sz w:val="24"/>
        </w:rPr>
        <w:fldChar w:fldCharType="begin"/>
      </w:r>
      <w:r w:rsidR="002648B0" w:rsidRPr="00457CC5">
        <w:rPr>
          <w:rFonts w:ascii="Times New Roman" w:hAnsi="Times New Roman"/>
          <w:sz w:val="24"/>
        </w:rPr>
        <w:instrText xml:space="preserve"> TOC \o "1-3" \h \z \u </w:instrText>
      </w:r>
      <w:r w:rsidRPr="00457CC5">
        <w:rPr>
          <w:rFonts w:ascii="Times New Roman" w:hAnsi="Times New Roman"/>
          <w:sz w:val="24"/>
        </w:rPr>
        <w:fldChar w:fldCharType="separate"/>
      </w:r>
      <w:hyperlink w:anchor="_Toc188882465" w:history="1">
        <w:r w:rsidR="00457CC5" w:rsidRPr="00457CC5">
          <w:rPr>
            <w:rStyle w:val="Hyperlink"/>
          </w:rPr>
          <w:t>ЧАСТ I: ОБЩИ УКАЗАНИЯ</w:t>
        </w:r>
        <w:r w:rsidR="00457CC5" w:rsidRPr="00457CC5">
          <w:rPr>
            <w:webHidden/>
          </w:rPr>
          <w:tab/>
        </w:r>
        <w:r w:rsidR="00457CC5" w:rsidRPr="00457CC5">
          <w:rPr>
            <w:webHidden/>
          </w:rPr>
          <w:fldChar w:fldCharType="begin"/>
        </w:r>
        <w:r w:rsidR="00457CC5" w:rsidRPr="00457CC5">
          <w:rPr>
            <w:webHidden/>
          </w:rPr>
          <w:instrText xml:space="preserve"> PAGEREF _Toc188882465 \h </w:instrText>
        </w:r>
        <w:r w:rsidR="00457CC5" w:rsidRPr="00457CC5">
          <w:rPr>
            <w:webHidden/>
          </w:rPr>
        </w:r>
        <w:r w:rsidR="00457CC5" w:rsidRPr="00457CC5">
          <w:rPr>
            <w:webHidden/>
          </w:rPr>
          <w:fldChar w:fldCharType="separate"/>
        </w:r>
        <w:r w:rsidR="002E755B">
          <w:rPr>
            <w:webHidden/>
          </w:rPr>
          <w:t>2</w:t>
        </w:r>
        <w:r w:rsidR="00457CC5" w:rsidRPr="00457CC5">
          <w:rPr>
            <w:webHidden/>
          </w:rPr>
          <w:fldChar w:fldCharType="end"/>
        </w:r>
      </w:hyperlink>
    </w:p>
    <w:p w14:paraId="3843A447" w14:textId="3E96EDF9" w:rsidR="00457CC5" w:rsidRPr="00457CC5" w:rsidRDefault="002E755B">
      <w:pPr>
        <w:pStyle w:val="TOC2"/>
        <w:rPr>
          <w:rFonts w:asciiTheme="minorHAnsi" w:eastAsiaTheme="minorEastAsia" w:hAnsiTheme="minorHAnsi" w:cstheme="minorBidi"/>
          <w:b w:val="0"/>
          <w:smallCaps w:val="0"/>
          <w:kern w:val="2"/>
          <w:sz w:val="22"/>
          <w:lang w:eastAsia="en-GB"/>
          <w14:ligatures w14:val="standardContextual"/>
        </w:rPr>
      </w:pPr>
      <w:hyperlink w:anchor="_Toc188882466" w:history="1">
        <w:r w:rsidR="00457CC5" w:rsidRPr="00457CC5">
          <w:rPr>
            <w:rStyle w:val="Hyperlink"/>
          </w:rPr>
          <w:t>1.</w:t>
        </w:r>
        <w:r w:rsidR="00457CC5" w:rsidRPr="00457CC5">
          <w:rPr>
            <w:rFonts w:asciiTheme="minorHAnsi" w:eastAsiaTheme="minorEastAsia" w:hAnsiTheme="minorHAnsi" w:cstheme="minorBidi"/>
            <w:b w:val="0"/>
            <w:smallCaps w:val="0"/>
            <w:kern w:val="2"/>
            <w:sz w:val="22"/>
            <w:lang w:eastAsia="en-GB"/>
            <w14:ligatures w14:val="standardContextual"/>
          </w:rPr>
          <w:tab/>
        </w:r>
        <w:r w:rsidR="00457CC5" w:rsidRPr="00457CC5">
          <w:rPr>
            <w:rStyle w:val="Hyperlink"/>
          </w:rPr>
          <w:t>Структура и установени практики</w:t>
        </w:r>
        <w:r w:rsidR="00457CC5" w:rsidRPr="00457CC5">
          <w:rPr>
            <w:webHidden/>
          </w:rPr>
          <w:tab/>
        </w:r>
        <w:r w:rsidR="00457CC5" w:rsidRPr="00457CC5">
          <w:rPr>
            <w:webHidden/>
          </w:rPr>
          <w:fldChar w:fldCharType="begin"/>
        </w:r>
        <w:r w:rsidR="00457CC5" w:rsidRPr="00457CC5">
          <w:rPr>
            <w:webHidden/>
          </w:rPr>
          <w:instrText xml:space="preserve"> PAGEREF _Toc188882466 \h </w:instrText>
        </w:r>
        <w:r w:rsidR="00457CC5" w:rsidRPr="00457CC5">
          <w:rPr>
            <w:webHidden/>
          </w:rPr>
        </w:r>
        <w:r w:rsidR="00457CC5" w:rsidRPr="00457CC5">
          <w:rPr>
            <w:webHidden/>
          </w:rPr>
          <w:fldChar w:fldCharType="separate"/>
        </w:r>
        <w:r>
          <w:rPr>
            <w:webHidden/>
          </w:rPr>
          <w:t>2</w:t>
        </w:r>
        <w:r w:rsidR="00457CC5" w:rsidRPr="00457CC5">
          <w:rPr>
            <w:webHidden/>
          </w:rPr>
          <w:fldChar w:fldCharType="end"/>
        </w:r>
      </w:hyperlink>
    </w:p>
    <w:p w14:paraId="160217A1" w14:textId="1B55DF1C" w:rsidR="00457CC5" w:rsidRPr="00457CC5" w:rsidRDefault="002E755B">
      <w:pPr>
        <w:pStyle w:val="TOC2"/>
        <w:rPr>
          <w:rFonts w:asciiTheme="minorHAnsi" w:eastAsiaTheme="minorEastAsia" w:hAnsiTheme="minorHAnsi" w:cstheme="minorBidi"/>
          <w:b w:val="0"/>
          <w:smallCaps w:val="0"/>
          <w:kern w:val="2"/>
          <w:sz w:val="22"/>
          <w:lang w:eastAsia="en-GB"/>
          <w14:ligatures w14:val="standardContextual"/>
        </w:rPr>
      </w:pPr>
      <w:hyperlink w:anchor="_Toc188882467" w:history="1">
        <w:r w:rsidR="00457CC5" w:rsidRPr="00457CC5">
          <w:rPr>
            <w:rStyle w:val="Hyperlink"/>
          </w:rPr>
          <w:t>1.1.</w:t>
        </w:r>
        <w:r w:rsidR="00457CC5" w:rsidRPr="00457CC5">
          <w:rPr>
            <w:rFonts w:asciiTheme="minorHAnsi" w:eastAsiaTheme="minorEastAsia" w:hAnsiTheme="minorHAnsi" w:cstheme="minorBidi"/>
            <w:b w:val="0"/>
            <w:smallCaps w:val="0"/>
            <w:kern w:val="2"/>
            <w:sz w:val="22"/>
            <w:lang w:eastAsia="en-GB"/>
            <w14:ligatures w14:val="standardContextual"/>
          </w:rPr>
          <w:tab/>
        </w:r>
        <w:r w:rsidR="00457CC5" w:rsidRPr="00457CC5">
          <w:rPr>
            <w:rStyle w:val="Hyperlink"/>
          </w:rPr>
          <w:t>Структура</w:t>
        </w:r>
        <w:r w:rsidR="00457CC5" w:rsidRPr="00457CC5">
          <w:rPr>
            <w:webHidden/>
          </w:rPr>
          <w:tab/>
        </w:r>
        <w:r w:rsidR="00457CC5" w:rsidRPr="00457CC5">
          <w:rPr>
            <w:webHidden/>
          </w:rPr>
          <w:fldChar w:fldCharType="begin"/>
        </w:r>
        <w:r w:rsidR="00457CC5" w:rsidRPr="00457CC5">
          <w:rPr>
            <w:webHidden/>
          </w:rPr>
          <w:instrText xml:space="preserve"> PAGEREF _Toc188882467 \h </w:instrText>
        </w:r>
        <w:r w:rsidR="00457CC5" w:rsidRPr="00457CC5">
          <w:rPr>
            <w:webHidden/>
          </w:rPr>
        </w:r>
        <w:r w:rsidR="00457CC5" w:rsidRPr="00457CC5">
          <w:rPr>
            <w:webHidden/>
          </w:rPr>
          <w:fldChar w:fldCharType="separate"/>
        </w:r>
        <w:r>
          <w:rPr>
            <w:webHidden/>
          </w:rPr>
          <w:t>2</w:t>
        </w:r>
        <w:r w:rsidR="00457CC5" w:rsidRPr="00457CC5">
          <w:rPr>
            <w:webHidden/>
          </w:rPr>
          <w:fldChar w:fldCharType="end"/>
        </w:r>
      </w:hyperlink>
    </w:p>
    <w:p w14:paraId="69513B2D" w14:textId="3812EB90" w:rsidR="00457CC5" w:rsidRPr="00457CC5" w:rsidRDefault="002E755B">
      <w:pPr>
        <w:pStyle w:val="TOC2"/>
        <w:rPr>
          <w:rFonts w:asciiTheme="minorHAnsi" w:eastAsiaTheme="minorEastAsia" w:hAnsiTheme="minorHAnsi" w:cstheme="minorBidi"/>
          <w:b w:val="0"/>
          <w:smallCaps w:val="0"/>
          <w:kern w:val="2"/>
          <w:sz w:val="22"/>
          <w:lang w:eastAsia="en-GB"/>
          <w14:ligatures w14:val="standardContextual"/>
        </w:rPr>
      </w:pPr>
      <w:hyperlink w:anchor="_Toc188882468" w:history="1">
        <w:r w:rsidR="00457CC5" w:rsidRPr="00457CC5">
          <w:rPr>
            <w:rStyle w:val="Hyperlink"/>
          </w:rPr>
          <w:t>1.2.</w:t>
        </w:r>
        <w:r w:rsidR="00457CC5" w:rsidRPr="00457CC5">
          <w:rPr>
            <w:rFonts w:asciiTheme="minorHAnsi" w:eastAsiaTheme="minorEastAsia" w:hAnsiTheme="minorHAnsi" w:cstheme="minorBidi"/>
            <w:b w:val="0"/>
            <w:smallCaps w:val="0"/>
            <w:kern w:val="2"/>
            <w:sz w:val="22"/>
            <w:lang w:eastAsia="en-GB"/>
            <w14:ligatures w14:val="standardContextual"/>
          </w:rPr>
          <w:tab/>
        </w:r>
        <w:r w:rsidR="00457CC5" w:rsidRPr="00457CC5">
          <w:rPr>
            <w:rStyle w:val="Hyperlink"/>
          </w:rPr>
          <w:t>Установена практика при номериране</w:t>
        </w:r>
        <w:r w:rsidR="00457CC5" w:rsidRPr="00457CC5">
          <w:rPr>
            <w:webHidden/>
          </w:rPr>
          <w:tab/>
        </w:r>
        <w:r w:rsidR="00457CC5" w:rsidRPr="00457CC5">
          <w:rPr>
            <w:webHidden/>
          </w:rPr>
          <w:fldChar w:fldCharType="begin"/>
        </w:r>
        <w:r w:rsidR="00457CC5" w:rsidRPr="00457CC5">
          <w:rPr>
            <w:webHidden/>
          </w:rPr>
          <w:instrText xml:space="preserve"> PAGEREF _Toc188882468 \h </w:instrText>
        </w:r>
        <w:r w:rsidR="00457CC5" w:rsidRPr="00457CC5">
          <w:rPr>
            <w:webHidden/>
          </w:rPr>
        </w:r>
        <w:r w:rsidR="00457CC5" w:rsidRPr="00457CC5">
          <w:rPr>
            <w:webHidden/>
          </w:rPr>
          <w:fldChar w:fldCharType="separate"/>
        </w:r>
        <w:r>
          <w:rPr>
            <w:webHidden/>
          </w:rPr>
          <w:t>2</w:t>
        </w:r>
        <w:r w:rsidR="00457CC5" w:rsidRPr="00457CC5">
          <w:rPr>
            <w:webHidden/>
          </w:rPr>
          <w:fldChar w:fldCharType="end"/>
        </w:r>
      </w:hyperlink>
    </w:p>
    <w:p w14:paraId="6C581652" w14:textId="1A461D08" w:rsidR="00457CC5" w:rsidRPr="00457CC5" w:rsidRDefault="002E755B">
      <w:pPr>
        <w:pStyle w:val="TOC2"/>
        <w:rPr>
          <w:rFonts w:asciiTheme="minorHAnsi" w:eastAsiaTheme="minorEastAsia" w:hAnsiTheme="minorHAnsi" w:cstheme="minorBidi"/>
          <w:b w:val="0"/>
          <w:smallCaps w:val="0"/>
          <w:kern w:val="2"/>
          <w:sz w:val="22"/>
          <w:lang w:eastAsia="en-GB"/>
          <w14:ligatures w14:val="standardContextual"/>
        </w:rPr>
      </w:pPr>
      <w:hyperlink w:anchor="_Toc188882469" w:history="1">
        <w:r w:rsidR="00457CC5" w:rsidRPr="00457CC5">
          <w:rPr>
            <w:rStyle w:val="Hyperlink"/>
          </w:rPr>
          <w:t>1.3.</w:t>
        </w:r>
        <w:r w:rsidR="00457CC5" w:rsidRPr="00457CC5">
          <w:rPr>
            <w:rFonts w:asciiTheme="minorHAnsi" w:eastAsiaTheme="minorEastAsia" w:hAnsiTheme="minorHAnsi" w:cstheme="minorBidi"/>
            <w:b w:val="0"/>
            <w:smallCaps w:val="0"/>
            <w:kern w:val="2"/>
            <w:sz w:val="22"/>
            <w:lang w:eastAsia="en-GB"/>
            <w14:ligatures w14:val="standardContextual"/>
          </w:rPr>
          <w:tab/>
        </w:r>
        <w:r w:rsidR="00457CC5" w:rsidRPr="00457CC5">
          <w:rPr>
            <w:rStyle w:val="Hyperlink"/>
          </w:rPr>
          <w:t>Установени практики при използването на знаци</w:t>
        </w:r>
        <w:r w:rsidR="00457CC5" w:rsidRPr="00457CC5">
          <w:rPr>
            <w:webHidden/>
          </w:rPr>
          <w:tab/>
        </w:r>
        <w:r w:rsidR="00457CC5" w:rsidRPr="00457CC5">
          <w:rPr>
            <w:webHidden/>
          </w:rPr>
          <w:fldChar w:fldCharType="begin"/>
        </w:r>
        <w:r w:rsidR="00457CC5" w:rsidRPr="00457CC5">
          <w:rPr>
            <w:webHidden/>
          </w:rPr>
          <w:instrText xml:space="preserve"> PAGEREF _Toc188882469 \h </w:instrText>
        </w:r>
        <w:r w:rsidR="00457CC5" w:rsidRPr="00457CC5">
          <w:rPr>
            <w:webHidden/>
          </w:rPr>
        </w:r>
        <w:r w:rsidR="00457CC5" w:rsidRPr="00457CC5">
          <w:rPr>
            <w:webHidden/>
          </w:rPr>
          <w:fldChar w:fldCharType="separate"/>
        </w:r>
        <w:r>
          <w:rPr>
            <w:webHidden/>
          </w:rPr>
          <w:t>2</w:t>
        </w:r>
        <w:r w:rsidR="00457CC5" w:rsidRPr="00457CC5">
          <w:rPr>
            <w:webHidden/>
          </w:rPr>
          <w:fldChar w:fldCharType="end"/>
        </w:r>
      </w:hyperlink>
    </w:p>
    <w:p w14:paraId="0A5D33FD" w14:textId="4415FBD5" w:rsidR="00457CC5" w:rsidRPr="00457CC5" w:rsidRDefault="002E755B">
      <w:pPr>
        <w:pStyle w:val="TOC2"/>
        <w:rPr>
          <w:rFonts w:asciiTheme="minorHAnsi" w:eastAsiaTheme="minorEastAsia" w:hAnsiTheme="minorHAnsi" w:cstheme="minorBidi"/>
          <w:b w:val="0"/>
          <w:smallCaps w:val="0"/>
          <w:kern w:val="2"/>
          <w:sz w:val="22"/>
          <w:lang w:eastAsia="en-GB"/>
          <w14:ligatures w14:val="standardContextual"/>
        </w:rPr>
      </w:pPr>
      <w:hyperlink w:anchor="_Toc188882470" w:history="1">
        <w:r w:rsidR="00457CC5" w:rsidRPr="00457CC5">
          <w:rPr>
            <w:rStyle w:val="Hyperlink"/>
          </w:rPr>
          <w:t>ЧАСТ II: УКАЗАНИЯ ОТНОСНО ОБРАЗЦИТЕ</w:t>
        </w:r>
        <w:r w:rsidR="00457CC5" w:rsidRPr="00457CC5">
          <w:rPr>
            <w:webHidden/>
          </w:rPr>
          <w:tab/>
        </w:r>
        <w:r w:rsidR="00457CC5" w:rsidRPr="00457CC5">
          <w:rPr>
            <w:webHidden/>
          </w:rPr>
          <w:fldChar w:fldCharType="begin"/>
        </w:r>
        <w:r w:rsidR="00457CC5" w:rsidRPr="00457CC5">
          <w:rPr>
            <w:webHidden/>
          </w:rPr>
          <w:instrText xml:space="preserve"> PAGEREF _Toc188882470 \h </w:instrText>
        </w:r>
        <w:r w:rsidR="00457CC5" w:rsidRPr="00457CC5">
          <w:rPr>
            <w:webHidden/>
          </w:rPr>
        </w:r>
        <w:r w:rsidR="00457CC5" w:rsidRPr="00457CC5">
          <w:rPr>
            <w:webHidden/>
          </w:rPr>
          <w:fldChar w:fldCharType="separate"/>
        </w:r>
        <w:r>
          <w:rPr>
            <w:webHidden/>
          </w:rPr>
          <w:t>3</w:t>
        </w:r>
        <w:r w:rsidR="00457CC5" w:rsidRPr="00457CC5">
          <w:rPr>
            <w:webHidden/>
          </w:rPr>
          <w:fldChar w:fldCharType="end"/>
        </w:r>
      </w:hyperlink>
    </w:p>
    <w:p w14:paraId="34A02F7A" w14:textId="5B10D0EA" w:rsidR="00457CC5" w:rsidRPr="00457CC5" w:rsidRDefault="002E755B">
      <w:pPr>
        <w:pStyle w:val="TOC2"/>
        <w:rPr>
          <w:rFonts w:asciiTheme="minorHAnsi" w:eastAsiaTheme="minorEastAsia" w:hAnsiTheme="minorHAnsi" w:cstheme="minorBidi"/>
          <w:b w:val="0"/>
          <w:smallCaps w:val="0"/>
          <w:kern w:val="2"/>
          <w:sz w:val="22"/>
          <w:lang w:eastAsia="en-GB"/>
          <w14:ligatures w14:val="standardContextual"/>
        </w:rPr>
      </w:pPr>
      <w:hyperlink w:anchor="_Toc188882471" w:history="1">
        <w:r w:rsidR="00457CC5" w:rsidRPr="00457CC5">
          <w:rPr>
            <w:rStyle w:val="Hyperlink"/>
          </w:rPr>
          <w:t>1.</w:t>
        </w:r>
        <w:r w:rsidR="00457CC5" w:rsidRPr="00457CC5">
          <w:rPr>
            <w:rFonts w:asciiTheme="minorHAnsi" w:eastAsiaTheme="minorEastAsia" w:hAnsiTheme="minorHAnsi" w:cstheme="minorBidi"/>
            <w:b w:val="0"/>
            <w:smallCaps w:val="0"/>
            <w:kern w:val="2"/>
            <w:sz w:val="22"/>
            <w:lang w:eastAsia="en-GB"/>
            <w14:ligatures w14:val="standardContextual"/>
          </w:rPr>
          <w:tab/>
        </w:r>
        <w:r w:rsidR="00457CC5" w:rsidRPr="00457CC5">
          <w:rPr>
            <w:rStyle w:val="Hyperlink"/>
          </w:rPr>
          <w:t>Общи бележки</w:t>
        </w:r>
        <w:r w:rsidR="00457CC5" w:rsidRPr="00457CC5">
          <w:rPr>
            <w:webHidden/>
          </w:rPr>
          <w:tab/>
        </w:r>
        <w:r w:rsidR="00457CC5" w:rsidRPr="00457CC5">
          <w:rPr>
            <w:webHidden/>
          </w:rPr>
          <w:fldChar w:fldCharType="begin"/>
        </w:r>
        <w:r w:rsidR="00457CC5" w:rsidRPr="00457CC5">
          <w:rPr>
            <w:webHidden/>
          </w:rPr>
          <w:instrText xml:space="preserve"> PAGEREF _Toc188882471 \h </w:instrText>
        </w:r>
        <w:r w:rsidR="00457CC5" w:rsidRPr="00457CC5">
          <w:rPr>
            <w:webHidden/>
          </w:rPr>
        </w:r>
        <w:r w:rsidR="00457CC5" w:rsidRPr="00457CC5">
          <w:rPr>
            <w:webHidden/>
          </w:rPr>
          <w:fldChar w:fldCharType="separate"/>
        </w:r>
        <w:r>
          <w:rPr>
            <w:webHidden/>
          </w:rPr>
          <w:t>3</w:t>
        </w:r>
        <w:r w:rsidR="00457CC5" w:rsidRPr="00457CC5">
          <w:rPr>
            <w:webHidden/>
          </w:rPr>
          <w:fldChar w:fldCharType="end"/>
        </w:r>
      </w:hyperlink>
    </w:p>
    <w:p w14:paraId="004A2880" w14:textId="0EF987DA" w:rsidR="00457CC5" w:rsidRPr="00457CC5" w:rsidRDefault="002E755B">
      <w:pPr>
        <w:pStyle w:val="TOC2"/>
        <w:rPr>
          <w:rFonts w:asciiTheme="minorHAnsi" w:eastAsiaTheme="minorEastAsia" w:hAnsiTheme="minorHAnsi" w:cstheme="minorBidi"/>
          <w:b w:val="0"/>
          <w:smallCaps w:val="0"/>
          <w:kern w:val="2"/>
          <w:sz w:val="22"/>
          <w:lang w:eastAsia="en-GB"/>
          <w14:ligatures w14:val="standardContextual"/>
        </w:rPr>
      </w:pPr>
      <w:hyperlink w:anchor="_Toc188882472" w:history="1">
        <w:r w:rsidR="00457CC5" w:rsidRPr="00457CC5">
          <w:rPr>
            <w:rStyle w:val="Hyperlink"/>
          </w:rPr>
          <w:t>2.</w:t>
        </w:r>
        <w:r w:rsidR="00457CC5" w:rsidRPr="00457CC5">
          <w:rPr>
            <w:rFonts w:asciiTheme="minorHAnsi" w:eastAsiaTheme="minorEastAsia" w:hAnsiTheme="minorHAnsi" w:cstheme="minorBidi"/>
            <w:b w:val="0"/>
            <w:smallCaps w:val="0"/>
            <w:kern w:val="2"/>
            <w:sz w:val="22"/>
            <w:lang w:eastAsia="en-GB"/>
            <w14:ligatures w14:val="standardContextual"/>
          </w:rPr>
          <w:tab/>
        </w:r>
        <w:r w:rsidR="00457CC5" w:rsidRPr="00457CC5">
          <w:rPr>
            <w:rStyle w:val="Hyperlink"/>
          </w:rPr>
          <w:t>Указания относно конкретни позиции</w:t>
        </w:r>
        <w:r w:rsidR="00457CC5" w:rsidRPr="00457CC5">
          <w:rPr>
            <w:webHidden/>
          </w:rPr>
          <w:tab/>
        </w:r>
        <w:r w:rsidR="00457CC5" w:rsidRPr="00457CC5">
          <w:rPr>
            <w:webHidden/>
          </w:rPr>
          <w:fldChar w:fldCharType="begin"/>
        </w:r>
        <w:r w:rsidR="00457CC5" w:rsidRPr="00457CC5">
          <w:rPr>
            <w:webHidden/>
          </w:rPr>
          <w:instrText xml:space="preserve"> PAGEREF _Toc188882472 \h </w:instrText>
        </w:r>
        <w:r w:rsidR="00457CC5" w:rsidRPr="00457CC5">
          <w:rPr>
            <w:webHidden/>
          </w:rPr>
        </w:r>
        <w:r w:rsidR="00457CC5" w:rsidRPr="00457CC5">
          <w:rPr>
            <w:webHidden/>
          </w:rPr>
          <w:fldChar w:fldCharType="separate"/>
        </w:r>
        <w:r>
          <w:rPr>
            <w:webHidden/>
          </w:rPr>
          <w:t>3</w:t>
        </w:r>
        <w:r w:rsidR="00457CC5" w:rsidRPr="00457CC5">
          <w:rPr>
            <w:webHidden/>
          </w:rPr>
          <w:fldChar w:fldCharType="end"/>
        </w:r>
      </w:hyperlink>
    </w:p>
    <w:p w14:paraId="7AC7042C" w14:textId="38006D6C" w:rsidR="002648B0" w:rsidRPr="00457CC5" w:rsidRDefault="00745369" w:rsidP="00005FFC">
      <w:pPr>
        <w:rPr>
          <w:rFonts w:ascii="Times New Roman" w:hAnsi="Times New Roman"/>
          <w:sz w:val="24"/>
        </w:rPr>
        <w:sectPr w:rsidR="002648B0" w:rsidRPr="00457CC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457CC5">
        <w:rPr>
          <w:rFonts w:ascii="Times New Roman" w:hAnsi="Times New Roman"/>
          <w:sz w:val="24"/>
        </w:rPr>
        <w:fldChar w:fldCharType="end"/>
      </w:r>
    </w:p>
    <w:p w14:paraId="2820F465" w14:textId="77777777" w:rsidR="002648B0" w:rsidRPr="00457CC5" w:rsidRDefault="002648B0" w:rsidP="00EC067D">
      <w:pPr>
        <w:pStyle w:val="Heading2"/>
      </w:pPr>
      <w:bookmarkStart w:id="2" w:name="_Toc264038394"/>
      <w:bookmarkStart w:id="3" w:name="_Toc360188317"/>
      <w:bookmarkStart w:id="4" w:name="_Toc473560865"/>
      <w:bookmarkStart w:id="5" w:name="_Toc188882465"/>
      <w:r w:rsidRPr="00457CC5">
        <w:lastRenderedPageBreak/>
        <w:t>ЧАСТ I:</w:t>
      </w:r>
      <w:bookmarkEnd w:id="2"/>
      <w:r w:rsidRPr="00457CC5">
        <w:t xml:space="preserve"> ОБЩИ УКАЗАНИЯ</w:t>
      </w:r>
      <w:bookmarkEnd w:id="3"/>
      <w:bookmarkEnd w:id="4"/>
      <w:bookmarkEnd w:id="5"/>
    </w:p>
    <w:p w14:paraId="134C985E" w14:textId="77777777" w:rsidR="002648B0" w:rsidRPr="00457CC5"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882466"/>
      <w:r w:rsidRPr="00457CC5">
        <w:rPr>
          <w:sz w:val="24"/>
        </w:rPr>
        <w:t>1.</w:t>
      </w:r>
      <w:r w:rsidRPr="00457CC5">
        <w:rPr>
          <w:sz w:val="24"/>
        </w:rPr>
        <w:tab/>
        <w:t>Структура и установени практики</w:t>
      </w:r>
      <w:bookmarkEnd w:id="6"/>
      <w:bookmarkEnd w:id="7"/>
      <w:bookmarkEnd w:id="8"/>
    </w:p>
    <w:p w14:paraId="7C7E012C" w14:textId="77777777" w:rsidR="002648B0" w:rsidRPr="00457CC5"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88882467"/>
      <w:bookmarkStart w:id="12" w:name="_Toc264038399"/>
      <w:bookmarkStart w:id="13" w:name="_Toc294018834"/>
      <w:r w:rsidRPr="00457CC5">
        <w:rPr>
          <w:sz w:val="24"/>
        </w:rPr>
        <w:t>1.1.</w:t>
      </w:r>
      <w:r w:rsidRPr="00457CC5">
        <w:rPr>
          <w:sz w:val="24"/>
        </w:rPr>
        <w:tab/>
        <w:t>Структура</w:t>
      </w:r>
      <w:bookmarkEnd w:id="9"/>
      <w:bookmarkEnd w:id="10"/>
      <w:bookmarkEnd w:id="11"/>
    </w:p>
    <w:p w14:paraId="6C67B776" w14:textId="4E28F620" w:rsidR="005643EA" w:rsidRPr="00457CC5" w:rsidRDefault="00125707" w:rsidP="002E755B">
      <w:pPr>
        <w:pStyle w:val="InstructionsText2"/>
      </w:pPr>
      <w:r w:rsidRPr="00457CC5">
        <w:t>1.</w:t>
      </w:r>
      <w:r w:rsidRPr="00457CC5">
        <w:tab/>
        <w:t>Настоящите изисквания за предоставяне на информация, които имат за цел да подпомогнат определянето на глобални системно значими институции (Г-СЗИ) и присъждането на съответните нива на буфера за Г-СЗИ, се състоят от един образец, който съдържа информация за показателите от глобално системно значение, и от отделни позиции, необходими за прилагането на методиката на Съюза за определянето на Г-СЗИ и присъждането на нивата на буфера за Г-СЗИ.</w:t>
      </w:r>
    </w:p>
    <w:p w14:paraId="61F62C51" w14:textId="77777777" w:rsidR="002648B0" w:rsidRPr="00457CC5"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882468"/>
      <w:r w:rsidRPr="00457CC5">
        <w:rPr>
          <w:sz w:val="24"/>
        </w:rPr>
        <w:t>1.2.</w:t>
      </w:r>
      <w:r w:rsidRPr="00457CC5">
        <w:rPr>
          <w:sz w:val="24"/>
        </w:rPr>
        <w:tab/>
        <w:t>Установена практика при номериране</w:t>
      </w:r>
      <w:bookmarkEnd w:id="14"/>
      <w:bookmarkEnd w:id="15"/>
      <w:bookmarkEnd w:id="16"/>
    </w:p>
    <w:p w14:paraId="3C0F0268" w14:textId="5212C39C" w:rsidR="002648B0" w:rsidRPr="00457CC5" w:rsidRDefault="006137FD" w:rsidP="002E755B">
      <w:pPr>
        <w:pStyle w:val="InstructionsText2"/>
      </w:pPr>
      <w:r w:rsidRPr="00457CC5">
        <w:t>2.</w:t>
      </w:r>
      <w:r w:rsidRPr="00457CC5">
        <w:tab/>
        <w:t>Когато се правят препратки към колоните, редовете и клетките от образците, в документа е следвано обозначаването, представено в точки 3—5. Тези цифрови кодове се използват широко в правилата за валидиране.</w:t>
      </w:r>
    </w:p>
    <w:p w14:paraId="26DC2799" w14:textId="2C43513E" w:rsidR="005643EA" w:rsidRPr="00457CC5" w:rsidRDefault="006137FD" w:rsidP="002E755B">
      <w:pPr>
        <w:pStyle w:val="InstructionsText2"/>
      </w:pPr>
      <w:r w:rsidRPr="00457CC5">
        <w:t>3.</w:t>
      </w:r>
      <w:r w:rsidRPr="00457CC5">
        <w:tab/>
        <w:t>В указанията се съблюдават следните общи означения: {образец; ред; колона}.</w:t>
      </w:r>
    </w:p>
    <w:p w14:paraId="6A9F72AA" w14:textId="632C824C" w:rsidR="005643EA" w:rsidRPr="00457CC5" w:rsidRDefault="006137FD" w:rsidP="002E755B">
      <w:pPr>
        <w:pStyle w:val="InstructionsText2"/>
      </w:pPr>
      <w:r w:rsidRPr="00457CC5">
        <w:t>4.</w:t>
      </w:r>
      <w:r w:rsidRPr="00457CC5">
        <w:tab/>
        <w:t>При препратки в рамките на даден образец, при които се използват само данни от него, в означението не се посочва образец: {ред; колона}. Когато образците имат само една колона, се посочват само редовете: {образец; ред}.</w:t>
      </w:r>
    </w:p>
    <w:p w14:paraId="01FECE3C" w14:textId="482B71E1" w:rsidR="002648B0" w:rsidRPr="00457CC5" w:rsidRDefault="006137FD" w:rsidP="002E755B">
      <w:pPr>
        <w:pStyle w:val="InstructionsText2"/>
      </w:pPr>
      <w:r w:rsidRPr="00457CC5">
        <w:t>5.</w:t>
      </w:r>
      <w:r w:rsidRPr="00457CC5">
        <w:tab/>
        <w:t>Знакът „звездичка“ се използва, за да се покаже, че препратката обхваща вече посочените редове или колони.</w:t>
      </w:r>
    </w:p>
    <w:p w14:paraId="273A8B8C" w14:textId="0AF01339" w:rsidR="002648B0" w:rsidRPr="00457CC5"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882469"/>
      <w:r w:rsidRPr="00457CC5">
        <w:rPr>
          <w:sz w:val="24"/>
        </w:rPr>
        <w:t>1.3.</w:t>
      </w:r>
      <w:r w:rsidRPr="00457CC5">
        <w:rPr>
          <w:sz w:val="24"/>
        </w:rPr>
        <w:tab/>
        <w:t>Установени практики при използването на знаци</w:t>
      </w:r>
      <w:bookmarkEnd w:id="12"/>
      <w:bookmarkEnd w:id="13"/>
      <w:bookmarkEnd w:id="17"/>
      <w:bookmarkEnd w:id="18"/>
      <w:bookmarkEnd w:id="19"/>
    </w:p>
    <w:p w14:paraId="0C0832BC" w14:textId="4A4E8717" w:rsidR="002648B0" w:rsidRPr="00457CC5" w:rsidRDefault="006137FD" w:rsidP="002E755B">
      <w:pPr>
        <w:pStyle w:val="InstructionsText2"/>
      </w:pPr>
      <w:r w:rsidRPr="00457CC5">
        <w:t>6.</w:t>
      </w:r>
      <w:r w:rsidRPr="00457CC5">
        <w:tab/>
        <w:t>Всяка стойност, с която се увеличава стойността на показател, активи, пасиви или експозиции, се докладва като положително число. Всяка стойност, с която се намалява стойността на показател, активи, пасиви или експозиции, се докладва като отрицателно число. При наличие на отрицателен знак (–) пред обозначението на дадена позиция не се очаква докладване на положително число по нея.</w:t>
      </w:r>
    </w:p>
    <w:p w14:paraId="078AD951" w14:textId="77777777" w:rsidR="00304CA5" w:rsidRPr="00457CC5" w:rsidRDefault="00304CA5" w:rsidP="002E755B">
      <w:pPr>
        <w:pStyle w:val="InstructionsText2"/>
      </w:pPr>
    </w:p>
    <w:p w14:paraId="74BFACB9" w14:textId="77777777" w:rsidR="002648B0" w:rsidRPr="00457CC5" w:rsidRDefault="002648B0" w:rsidP="002E755B">
      <w:pPr>
        <w:pStyle w:val="InstructionsText2"/>
        <w:sectPr w:rsidR="002648B0" w:rsidRPr="00457CC5"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457CC5" w:rsidRDefault="002648B0" w:rsidP="00EC067D">
      <w:pPr>
        <w:pStyle w:val="Heading2"/>
      </w:pPr>
      <w:bookmarkStart w:id="21" w:name="_Toc360188322"/>
      <w:bookmarkStart w:id="22" w:name="_Toc473560870"/>
      <w:bookmarkStart w:id="23" w:name="_Toc188882470"/>
      <w:r w:rsidRPr="00457CC5">
        <w:lastRenderedPageBreak/>
        <w:t>ЧАСТ II: УКАЗАНИЯ ОТНОСНО ОБРАЗЦИТЕ</w:t>
      </w:r>
      <w:bookmarkEnd w:id="21"/>
      <w:bookmarkEnd w:id="22"/>
      <w:bookmarkEnd w:id="23"/>
    </w:p>
    <w:p w14:paraId="5E8C221B" w14:textId="6A60103B" w:rsidR="002648B0" w:rsidRPr="00457CC5"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882471"/>
      <w:r w:rsidRPr="00457CC5">
        <w:rPr>
          <w:sz w:val="24"/>
        </w:rPr>
        <w:t>1.</w:t>
      </w:r>
      <w:r w:rsidRPr="00457CC5">
        <w:rPr>
          <w:sz w:val="24"/>
        </w:rPr>
        <w:tab/>
      </w:r>
      <w:bookmarkStart w:id="27" w:name="_Toc308175819"/>
      <w:bookmarkStart w:id="28" w:name="_Toc360188324"/>
      <w:bookmarkStart w:id="29" w:name="_Toc473560872"/>
      <w:bookmarkEnd w:id="24"/>
      <w:bookmarkEnd w:id="25"/>
      <w:r w:rsidRPr="00457CC5">
        <w:rPr>
          <w:sz w:val="24"/>
        </w:rPr>
        <w:t>Общи бележки</w:t>
      </w:r>
      <w:bookmarkEnd w:id="27"/>
      <w:bookmarkEnd w:id="28"/>
      <w:bookmarkEnd w:id="29"/>
      <w:bookmarkEnd w:id="26"/>
    </w:p>
    <w:p w14:paraId="410557ED" w14:textId="58FCFFD9" w:rsidR="006137FD" w:rsidRPr="00457CC5" w:rsidRDefault="00004542" w:rsidP="002E755B">
      <w:pPr>
        <w:pStyle w:val="InstructionsText2"/>
      </w:pPr>
      <w:r w:rsidRPr="00457CC5">
        <w:t>8.</w:t>
      </w:r>
      <w:r w:rsidRPr="00457CC5">
        <w:tab/>
        <w:t>Образецът е разделен на две части. Горният раздел се отнася до показателите за определянето на Г-СЗИ, както последните са определени в методиката, разработена от Базелския комитет по банков надзор. Долният раздел съдържа редица позиции, необходими за изчисляването на съответните показатели по методиката, определена въз основа на член 131, параграф 18 от Директива 2013/36/ЕС</w:t>
      </w:r>
      <w:r w:rsidR="00FE1150" w:rsidRPr="00457CC5">
        <w:rPr>
          <w:rStyle w:val="FootnoteReference"/>
          <w:rFonts w:ascii="Times New Roman" w:hAnsi="Times New Roman"/>
          <w:sz w:val="24"/>
          <w:szCs w:val="24"/>
          <w:vertAlign w:val="superscript"/>
        </w:rPr>
        <w:footnoteReference w:id="2"/>
      </w:r>
      <w:r w:rsidRPr="00457CC5">
        <w:t xml:space="preserve">. </w:t>
      </w:r>
    </w:p>
    <w:p w14:paraId="285BFC5F" w14:textId="4372324A" w:rsidR="005643EA" w:rsidRPr="00457CC5" w:rsidRDefault="00004542" w:rsidP="002E755B">
      <w:pPr>
        <w:pStyle w:val="InstructionsText2"/>
      </w:pPr>
      <w:r w:rsidRPr="00457CC5">
        <w:t>9.</w:t>
      </w:r>
      <w:r w:rsidRPr="00457CC5">
        <w:tab/>
        <w:t>Когато е приложимо, предоставените в настоящия образец сведения трябва да съответстват на тези, предоставени на съответните органи за целите на събираните от тях стойности на показателите съгласно посоченото в член 3, параграф 2 от Делегиран регламент (ЕС) № 1222/2014 на Комисията</w:t>
      </w:r>
      <w:r w:rsidR="00FE1150" w:rsidRPr="00457CC5">
        <w:rPr>
          <w:rStyle w:val="FootnoteReference"/>
          <w:rFonts w:ascii="Times New Roman" w:hAnsi="Times New Roman"/>
          <w:sz w:val="24"/>
          <w:szCs w:val="24"/>
          <w:vertAlign w:val="superscript"/>
        </w:rPr>
        <w:footnoteReference w:id="3"/>
      </w:r>
      <w:r w:rsidRPr="00457CC5">
        <w:t>.</w:t>
      </w:r>
    </w:p>
    <w:p w14:paraId="1640AAF5" w14:textId="010F44D6" w:rsidR="002648B0" w:rsidRPr="00457CC5"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882472"/>
      <w:r w:rsidRPr="00457CC5">
        <w:rPr>
          <w:sz w:val="24"/>
        </w:rPr>
        <w:t>2.</w:t>
      </w:r>
      <w:r w:rsidRPr="00457CC5">
        <w:rPr>
          <w:sz w:val="24"/>
        </w:rPr>
        <w:tab/>
      </w:r>
      <w:bookmarkEnd w:id="30"/>
      <w:r w:rsidRPr="00457CC5">
        <w:rPr>
          <w:sz w:val="24"/>
        </w:rPr>
        <w:t>Указания относно конкретни</w:t>
      </w:r>
      <w:bookmarkEnd w:id="31"/>
      <w:r w:rsidRPr="00457CC5">
        <w:t xml:space="preserve"> позиции</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457CC5" w14:paraId="5D5CC09A" w14:textId="77777777" w:rsidTr="00D731E3">
        <w:tc>
          <w:tcPr>
            <w:tcW w:w="1129" w:type="dxa"/>
            <w:shd w:val="clear" w:color="auto" w:fill="D9D9D9"/>
          </w:tcPr>
          <w:p w14:paraId="5EE5330B" w14:textId="77777777" w:rsidR="005643EA" w:rsidRPr="00457CC5" w:rsidRDefault="002648B0" w:rsidP="002E755B">
            <w:pPr>
              <w:pStyle w:val="InstructionsText"/>
              <w:rPr>
                <w:rStyle w:val="InstructionsTabelleText"/>
                <w:rFonts w:ascii="Times New Roman" w:hAnsi="Times New Roman"/>
                <w:bCs/>
                <w:sz w:val="24"/>
              </w:rPr>
            </w:pPr>
            <w:r w:rsidRPr="00457CC5">
              <w:rPr>
                <w:rStyle w:val="InstructionsTabelleText"/>
                <w:rFonts w:ascii="Times New Roman" w:hAnsi="Times New Roman"/>
                <w:sz w:val="24"/>
              </w:rPr>
              <w:t>Ред</w:t>
            </w:r>
          </w:p>
        </w:tc>
        <w:tc>
          <w:tcPr>
            <w:tcW w:w="7620" w:type="dxa"/>
            <w:shd w:val="clear" w:color="auto" w:fill="D9D9D9"/>
          </w:tcPr>
          <w:p w14:paraId="19E41094" w14:textId="77777777" w:rsidR="005643EA" w:rsidRPr="00457CC5" w:rsidRDefault="002648B0" w:rsidP="002E755B">
            <w:pPr>
              <w:pStyle w:val="InstructionsText"/>
              <w:rPr>
                <w:rStyle w:val="InstructionsTabelleText"/>
                <w:rFonts w:ascii="Times New Roman" w:hAnsi="Times New Roman"/>
                <w:bCs/>
                <w:sz w:val="24"/>
              </w:rPr>
            </w:pPr>
            <w:r w:rsidRPr="00457CC5">
              <w:rPr>
                <w:rStyle w:val="InstructionsTabelleText"/>
                <w:rFonts w:ascii="Times New Roman" w:hAnsi="Times New Roman"/>
                <w:sz w:val="24"/>
              </w:rPr>
              <w:t>Препратки към нормативни актове и указания</w:t>
            </w:r>
          </w:p>
        </w:tc>
      </w:tr>
      <w:tr w:rsidR="002648B0" w:rsidRPr="00457CC5" w14:paraId="0E5D273A" w14:textId="77777777" w:rsidTr="00D731E3">
        <w:tc>
          <w:tcPr>
            <w:tcW w:w="1129" w:type="dxa"/>
          </w:tcPr>
          <w:p w14:paraId="4A55AEAF" w14:textId="3BFAC98E" w:rsidR="002648B0" w:rsidRPr="00457CC5" w:rsidRDefault="00004542"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0010—0130</w:t>
            </w:r>
          </w:p>
        </w:tc>
        <w:tc>
          <w:tcPr>
            <w:tcW w:w="7620" w:type="dxa"/>
          </w:tcPr>
          <w:p w14:paraId="541B4823" w14:textId="0EF9A745" w:rsidR="00D7242F" w:rsidRPr="00457CC5" w:rsidRDefault="00004542"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Показатели за Г-СЗИ</w:t>
            </w:r>
          </w:p>
          <w:p w14:paraId="71B4C248" w14:textId="77777777" w:rsidR="005643EA" w:rsidRPr="00457CC5" w:rsidRDefault="00004542" w:rsidP="002E755B">
            <w:pPr>
              <w:pStyle w:val="InstructionsText2"/>
              <w:rPr>
                <w:rStyle w:val="FormatvorlageInstructionsTabelleText"/>
                <w:rFonts w:ascii="Times New Roman" w:hAnsi="Times New Roman"/>
                <w:sz w:val="24"/>
              </w:rPr>
            </w:pPr>
            <w:r w:rsidRPr="00457CC5">
              <w:rPr>
                <w:rStyle w:val="FormatvorlageInstructionsTabelleText"/>
                <w:rFonts w:ascii="Times New Roman" w:hAnsi="Times New Roman"/>
                <w:sz w:val="24"/>
              </w:rPr>
              <w:t>Дефиницията на показателите е същата като прилаганата за определяне на информацията, посочена в приложението към Делегиран регламент (ЕС) № 1222/2014 на Комисията.</w:t>
            </w:r>
          </w:p>
          <w:p w14:paraId="77AC76F2" w14:textId="4AA15478" w:rsidR="00EF0DDB" w:rsidRPr="00457CC5" w:rsidRDefault="00087903" w:rsidP="002E755B">
            <w:pPr>
              <w:pStyle w:val="InstructionsText2"/>
              <w:rPr>
                <w:rStyle w:val="FormatvorlageInstructionsTabelleText"/>
                <w:rFonts w:ascii="Times New Roman" w:hAnsi="Times New Roman"/>
                <w:sz w:val="24"/>
              </w:rPr>
            </w:pPr>
            <w:r w:rsidRPr="00457CC5">
              <w:rPr>
                <w:rStyle w:val="FormatvorlageInstructionsTabelleText"/>
                <w:rFonts w:ascii="Times New Roman" w:hAnsi="Times New Roman"/>
                <w:sz w:val="24"/>
              </w:rPr>
              <w:t>При промени на дефинициите в тази методика, докладването към края на първото, второто и третото тримесечие на дадена финансова година следва така изменените дефиниции в методиката, използвана за определяне на стойностите на показателите към края на финансовата година (методика към края на годината). Когато образецът от приложение XXVI е обект на изменения в хода на съответната финансова година, методиката към края на годината се прилага от първите приложими референтни дати след влизането в сила на регламента за изменение.</w:t>
            </w:r>
          </w:p>
          <w:p w14:paraId="09DD6AF6" w14:textId="46653849" w:rsidR="00805C7A" w:rsidRPr="00457CC5" w:rsidRDefault="00805C7A" w:rsidP="002E755B">
            <w:pPr>
              <w:pStyle w:val="InstructionsText2"/>
              <w:rPr>
                <w:rStyle w:val="InstructionsTabelleberschrift"/>
                <w:rFonts w:ascii="Times New Roman" w:hAnsi="Times New Roman"/>
                <w:sz w:val="24"/>
              </w:rPr>
            </w:pPr>
            <w:r w:rsidRPr="00457CC5">
              <w:rPr>
                <w:rStyle w:val="FormatvorlageInstructionsTabelleText"/>
                <w:rFonts w:ascii="Times New Roman" w:hAnsi="Times New Roman"/>
                <w:sz w:val="24"/>
              </w:rPr>
              <w:t>Показателите, с които се измерват потоците, се докладват кумулативно от началото на календарната или финансовата година, според случая.</w:t>
            </w:r>
          </w:p>
        </w:tc>
      </w:tr>
      <w:tr w:rsidR="000359E7" w:rsidRPr="00457CC5" w14:paraId="3C8BC05D" w14:textId="77777777" w:rsidTr="00D731E3">
        <w:tc>
          <w:tcPr>
            <w:tcW w:w="1129" w:type="dxa"/>
          </w:tcPr>
          <w:p w14:paraId="2DB15F09" w14:textId="10FDDDE8" w:rsidR="000359E7" w:rsidRPr="00457CC5" w:rsidRDefault="000359E7"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0010</w:t>
            </w:r>
          </w:p>
        </w:tc>
        <w:tc>
          <w:tcPr>
            <w:tcW w:w="7620" w:type="dxa"/>
          </w:tcPr>
          <w:p w14:paraId="0897A46E" w14:textId="4CC72B82" w:rsidR="000359E7"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Общо експозиции, включително дъщерни застрахователни предприятия</w:t>
            </w:r>
          </w:p>
        </w:tc>
      </w:tr>
      <w:tr w:rsidR="000359E7" w:rsidRPr="00457CC5" w14:paraId="6D4F9F35" w14:textId="77777777" w:rsidTr="00D731E3">
        <w:tc>
          <w:tcPr>
            <w:tcW w:w="1129" w:type="dxa"/>
          </w:tcPr>
          <w:p w14:paraId="744137FA" w14:textId="7636C40D" w:rsidR="000359E7" w:rsidRPr="00457CC5" w:rsidRDefault="000359E7"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0020</w:t>
            </w:r>
          </w:p>
        </w:tc>
        <w:tc>
          <w:tcPr>
            <w:tcW w:w="7620" w:type="dxa"/>
          </w:tcPr>
          <w:p w14:paraId="050D6105" w14:textId="0FDCF45E" w:rsidR="000359E7"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 xml:space="preserve">Активи в рамките на финансовата система, включително дъщерни застрахователни предприятия </w:t>
            </w:r>
          </w:p>
        </w:tc>
      </w:tr>
      <w:tr w:rsidR="000359E7" w:rsidRPr="00457CC5" w14:paraId="6DDE62D2" w14:textId="77777777" w:rsidTr="00D731E3">
        <w:tc>
          <w:tcPr>
            <w:tcW w:w="1129" w:type="dxa"/>
          </w:tcPr>
          <w:p w14:paraId="119F2029" w14:textId="2E0C1E76" w:rsidR="000359E7" w:rsidRPr="00457CC5" w:rsidRDefault="000359E7"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lastRenderedPageBreak/>
              <w:t>0030</w:t>
            </w:r>
          </w:p>
        </w:tc>
        <w:tc>
          <w:tcPr>
            <w:tcW w:w="7620" w:type="dxa"/>
          </w:tcPr>
          <w:p w14:paraId="20A17A52" w14:textId="2A978155" w:rsidR="000359E7"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 xml:space="preserve">Пасиви в рамките на финансовата система, включително дъщерни застрахователни предприятия </w:t>
            </w:r>
          </w:p>
        </w:tc>
      </w:tr>
      <w:tr w:rsidR="000359E7" w:rsidRPr="00457CC5" w14:paraId="1E32E0D4" w14:textId="77777777" w:rsidTr="00D731E3">
        <w:tc>
          <w:tcPr>
            <w:tcW w:w="1129" w:type="dxa"/>
          </w:tcPr>
          <w:p w14:paraId="62806938" w14:textId="21F95289" w:rsidR="000359E7" w:rsidRPr="00457CC5" w:rsidRDefault="000359E7"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0040</w:t>
            </w:r>
          </w:p>
        </w:tc>
        <w:tc>
          <w:tcPr>
            <w:tcW w:w="7620" w:type="dxa"/>
          </w:tcPr>
          <w:p w14:paraId="1992577C" w14:textId="744932D1" w:rsidR="000359E7"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 xml:space="preserve">Ценни книжа в обращение, включително ценни книжа, емитирани от дъщерни застрахователни предприятия </w:t>
            </w:r>
          </w:p>
        </w:tc>
      </w:tr>
      <w:tr w:rsidR="000359E7" w:rsidRPr="00457CC5" w14:paraId="168CAFD1" w14:textId="77777777" w:rsidTr="00D731E3">
        <w:tc>
          <w:tcPr>
            <w:tcW w:w="1129" w:type="dxa"/>
          </w:tcPr>
          <w:p w14:paraId="20E7E202" w14:textId="74E0180D" w:rsidR="000359E7" w:rsidRPr="00457CC5" w:rsidRDefault="000359E7"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0050</w:t>
            </w:r>
          </w:p>
        </w:tc>
        <w:tc>
          <w:tcPr>
            <w:tcW w:w="7620" w:type="dxa"/>
          </w:tcPr>
          <w:p w14:paraId="07A315EC" w14:textId="475F88BE" w:rsidR="000359E7"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 xml:space="preserve">Разплащателна дейност </w:t>
            </w:r>
          </w:p>
        </w:tc>
      </w:tr>
      <w:tr w:rsidR="000359E7" w:rsidRPr="00457CC5" w14:paraId="7D83D84B" w14:textId="77777777" w:rsidTr="00D731E3">
        <w:tc>
          <w:tcPr>
            <w:tcW w:w="1129" w:type="dxa"/>
          </w:tcPr>
          <w:p w14:paraId="2E41976E" w14:textId="54079319" w:rsidR="000359E7" w:rsidRPr="00457CC5" w:rsidRDefault="000359E7"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0060</w:t>
            </w:r>
          </w:p>
        </w:tc>
        <w:tc>
          <w:tcPr>
            <w:tcW w:w="7620" w:type="dxa"/>
          </w:tcPr>
          <w:p w14:paraId="6BD24A93" w14:textId="370DC50E" w:rsidR="000359E7"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 xml:space="preserve">Активи под попечителство </w:t>
            </w:r>
          </w:p>
        </w:tc>
      </w:tr>
      <w:tr w:rsidR="000359E7" w:rsidRPr="00457CC5" w14:paraId="40C175C7" w14:textId="77777777" w:rsidTr="00D731E3">
        <w:tc>
          <w:tcPr>
            <w:tcW w:w="1129" w:type="dxa"/>
          </w:tcPr>
          <w:p w14:paraId="05CF3D3D" w14:textId="4A19EAF3" w:rsidR="000359E7" w:rsidRPr="00457CC5" w:rsidRDefault="000359E7"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0070</w:t>
            </w:r>
          </w:p>
        </w:tc>
        <w:tc>
          <w:tcPr>
            <w:tcW w:w="7620" w:type="dxa"/>
          </w:tcPr>
          <w:p w14:paraId="7A6CF35F" w14:textId="264D705F" w:rsidR="000359E7"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 xml:space="preserve">Поемане на емисии </w:t>
            </w:r>
          </w:p>
        </w:tc>
      </w:tr>
      <w:tr w:rsidR="00C53D25" w:rsidRPr="00457CC5" w14:paraId="12E2671F" w14:textId="77777777" w:rsidTr="001676CB">
        <w:tc>
          <w:tcPr>
            <w:tcW w:w="1129" w:type="dxa"/>
          </w:tcPr>
          <w:p w14:paraId="09A598C9" w14:textId="039AD27A" w:rsidR="00C53D25" w:rsidRPr="00457CC5" w:rsidRDefault="00C53D2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0081</w:t>
            </w:r>
          </w:p>
        </w:tc>
        <w:tc>
          <w:tcPr>
            <w:tcW w:w="7620" w:type="dxa"/>
          </w:tcPr>
          <w:p w14:paraId="30E3167C" w14:textId="73F88F82" w:rsidR="00C53D25" w:rsidRPr="00457CC5" w:rsidRDefault="00C53D2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Търгуван обем — фиксиран доход</w:t>
            </w:r>
          </w:p>
        </w:tc>
      </w:tr>
      <w:tr w:rsidR="00C53D25" w:rsidRPr="00457CC5" w14:paraId="52CA54E3" w14:textId="77777777" w:rsidTr="001676CB">
        <w:tc>
          <w:tcPr>
            <w:tcW w:w="1129" w:type="dxa"/>
          </w:tcPr>
          <w:p w14:paraId="71073FC3" w14:textId="140E68CD" w:rsidR="00C53D25" w:rsidRPr="00457CC5" w:rsidRDefault="00C53D2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0085</w:t>
            </w:r>
          </w:p>
        </w:tc>
        <w:tc>
          <w:tcPr>
            <w:tcW w:w="7620" w:type="dxa"/>
          </w:tcPr>
          <w:p w14:paraId="3E25FF92" w14:textId="65C0BDE8" w:rsidR="00C53D25" w:rsidRPr="00457CC5" w:rsidRDefault="00C53D2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Търгуван обем — капиталови инструменти и други ценни книжа</w:t>
            </w:r>
          </w:p>
        </w:tc>
      </w:tr>
      <w:tr w:rsidR="00461B95" w:rsidRPr="00457CC5" w14:paraId="77AC2598" w14:textId="77777777" w:rsidTr="00D731E3">
        <w:tc>
          <w:tcPr>
            <w:tcW w:w="1129" w:type="dxa"/>
          </w:tcPr>
          <w:p w14:paraId="2EA7B719" w14:textId="61AD4AA2"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0090</w:t>
            </w:r>
          </w:p>
        </w:tc>
        <w:tc>
          <w:tcPr>
            <w:tcW w:w="7620" w:type="dxa"/>
          </w:tcPr>
          <w:p w14:paraId="78F8B106" w14:textId="03DCAE87" w:rsidR="00461B95"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 xml:space="preserve">Условна стойност на извънборсовите деривати, включително дъщерни застрахователни предприятия </w:t>
            </w:r>
          </w:p>
        </w:tc>
      </w:tr>
      <w:tr w:rsidR="00461B95" w:rsidRPr="00457CC5" w14:paraId="68CA6CE8" w14:textId="77777777" w:rsidTr="00D731E3">
        <w:tc>
          <w:tcPr>
            <w:tcW w:w="1129" w:type="dxa"/>
          </w:tcPr>
          <w:p w14:paraId="6BF1E474" w14:textId="0CCD0D86"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0100</w:t>
            </w:r>
          </w:p>
        </w:tc>
        <w:tc>
          <w:tcPr>
            <w:tcW w:w="7620" w:type="dxa"/>
          </w:tcPr>
          <w:p w14:paraId="39D62EB3" w14:textId="4420257E" w:rsidR="00461B95" w:rsidRPr="00457CC5" w:rsidRDefault="00A14DB6"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Ценни книжа — държани за търгуване и на разположение за продажба</w:t>
            </w:r>
          </w:p>
        </w:tc>
      </w:tr>
      <w:tr w:rsidR="00461B95" w:rsidRPr="00457CC5" w14:paraId="43F77E74" w14:textId="77777777" w:rsidTr="00D731E3">
        <w:tc>
          <w:tcPr>
            <w:tcW w:w="1129" w:type="dxa"/>
          </w:tcPr>
          <w:p w14:paraId="222B2025" w14:textId="318C8EA5"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0110</w:t>
            </w:r>
          </w:p>
        </w:tc>
        <w:tc>
          <w:tcPr>
            <w:tcW w:w="7620" w:type="dxa"/>
          </w:tcPr>
          <w:p w14:paraId="6C924F42" w14:textId="204B324F" w:rsidR="00461B95" w:rsidRPr="00457CC5" w:rsidRDefault="00A14DB6"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Активи от ниво 3, включително дъщерни застрахователни предприятия</w:t>
            </w:r>
          </w:p>
        </w:tc>
      </w:tr>
      <w:tr w:rsidR="00461B95" w:rsidRPr="00457CC5" w14:paraId="20E3E2F0" w14:textId="77777777" w:rsidTr="00D731E3">
        <w:tc>
          <w:tcPr>
            <w:tcW w:w="1129" w:type="dxa"/>
          </w:tcPr>
          <w:p w14:paraId="4C62BBAD" w14:textId="784915EC"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0120</w:t>
            </w:r>
          </w:p>
        </w:tc>
        <w:tc>
          <w:tcPr>
            <w:tcW w:w="7620" w:type="dxa"/>
          </w:tcPr>
          <w:p w14:paraId="1AAE0433" w14:textId="7FD5CAE0" w:rsidR="00461B95"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Вземания от субекти в други юрисдикции</w:t>
            </w:r>
          </w:p>
        </w:tc>
      </w:tr>
      <w:tr w:rsidR="00461B95" w:rsidRPr="00457CC5" w14:paraId="00DCCD96" w14:textId="77777777" w:rsidTr="00D731E3">
        <w:tc>
          <w:tcPr>
            <w:tcW w:w="1129" w:type="dxa"/>
          </w:tcPr>
          <w:p w14:paraId="6185C376" w14:textId="0A67EB11"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0130</w:t>
            </w:r>
          </w:p>
        </w:tc>
        <w:tc>
          <w:tcPr>
            <w:tcW w:w="7620" w:type="dxa"/>
          </w:tcPr>
          <w:p w14:paraId="1AC7DFAE" w14:textId="47D4ECD5" w:rsidR="00461B95"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Задължения към субекти в други юрисдикции</w:t>
            </w:r>
          </w:p>
        </w:tc>
      </w:tr>
      <w:tr w:rsidR="00461B95" w:rsidRPr="00457CC5" w14:paraId="1692F927" w14:textId="77777777" w:rsidTr="00D731E3">
        <w:tc>
          <w:tcPr>
            <w:tcW w:w="1129" w:type="dxa"/>
          </w:tcPr>
          <w:p w14:paraId="0B33EE2F" w14:textId="4E8E9227"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0140—0160</w:t>
            </w:r>
          </w:p>
        </w:tc>
        <w:tc>
          <w:tcPr>
            <w:tcW w:w="7620" w:type="dxa"/>
          </w:tcPr>
          <w:p w14:paraId="37D5CB7B" w14:textId="785C02EE" w:rsidR="00461B95"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Позиции, при които Европейският банков съюз се разглежда като една юрисдикция</w:t>
            </w:r>
          </w:p>
          <w:p w14:paraId="5DB1FD22" w14:textId="50C1AAEF" w:rsidR="00461B95" w:rsidRPr="00457CC5" w:rsidRDefault="00461B95" w:rsidP="002E755B">
            <w:pPr>
              <w:pStyle w:val="InstructionsText2"/>
              <w:rPr>
                <w:rStyle w:val="FormatvorlageInstructionsTabelleText"/>
                <w:rFonts w:ascii="Times New Roman" w:hAnsi="Times New Roman"/>
                <w:sz w:val="24"/>
              </w:rPr>
            </w:pPr>
            <w:r w:rsidRPr="00457CC5">
              <w:rPr>
                <w:rStyle w:val="FormatvorlageInstructionsTabelleText"/>
                <w:rFonts w:ascii="Times New Roman" w:hAnsi="Times New Roman"/>
                <w:sz w:val="24"/>
              </w:rPr>
              <w:t>За целите на определянето на посочените по-долу позиции и при отсъствието на специални указания по-долу, използваните дефиниции и понятия се съгласуват, доколкото е възможно, с тези в насоките за докладване на събираните от БМР статистически данни за международната банкова дейност (Guidelines for reporting the BIS international banking statistics).</w:t>
            </w:r>
          </w:p>
          <w:p w14:paraId="624545C8" w14:textId="372F5EC2" w:rsidR="00461B95" w:rsidRPr="00457CC5" w:rsidRDefault="00461B95" w:rsidP="002E755B">
            <w:pPr>
              <w:pStyle w:val="InstructionsText2"/>
              <w:rPr>
                <w:rStyle w:val="InstructionsTabelleberschrift"/>
                <w:rFonts w:ascii="Times New Roman" w:hAnsi="Times New Roman"/>
                <w:sz w:val="24"/>
              </w:rPr>
            </w:pPr>
            <w:r w:rsidRPr="00457CC5">
              <w:t>По изключение от гореизложеното, тук не спадат дейностите на докладващите субекти в участващите държави членки, както последните са определени в член 4 от Регламент (ЕС) № 806/2014 на Европейския парламент и на Съвета</w:t>
            </w:r>
            <w:r w:rsidRPr="00457CC5">
              <w:rPr>
                <w:rStyle w:val="FootnoteReference"/>
                <w:rFonts w:ascii="Times New Roman" w:hAnsi="Times New Roman"/>
                <w:sz w:val="24"/>
                <w:szCs w:val="24"/>
                <w:vertAlign w:val="superscript"/>
              </w:rPr>
              <w:footnoteReference w:id="4"/>
            </w:r>
            <w:r w:rsidRPr="00457CC5">
              <w:t xml:space="preserve"> — т.е. участващите държави членки се приемат за една юрисдикция.</w:t>
            </w:r>
          </w:p>
        </w:tc>
      </w:tr>
      <w:tr w:rsidR="00461B95" w:rsidRPr="00457CC5" w14:paraId="61796B97" w14:textId="77777777" w:rsidTr="00D731E3">
        <w:tc>
          <w:tcPr>
            <w:tcW w:w="1129" w:type="dxa"/>
          </w:tcPr>
          <w:p w14:paraId="03539F89" w14:textId="70440909"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0140</w:t>
            </w:r>
          </w:p>
        </w:tc>
        <w:tc>
          <w:tcPr>
            <w:tcW w:w="7620" w:type="dxa"/>
          </w:tcPr>
          <w:p w14:paraId="5728CDBE" w14:textId="77777777" w:rsidR="00461B95"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Общо чуждестранни вземания на база краен риск</w:t>
            </w:r>
          </w:p>
          <w:p w14:paraId="3ECF379D" w14:textId="77D3E075"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 xml:space="preserve">Общата стойност на чуждестранните вземания е сборът на трансграничните и местните вземания на филиалите в чужбина в местна или чуждестранна валута. Тук не се включват вземанията по позиции в договори за деривати. Термините „вземания“, „трансгранични вземания“ и „местни вземания на филиалите в чужбина в местна или чуждестранна валута“ са със значението си, дефинирано в насоките за докладване на събираните от БМР статистически данни за международната банкова дейност. </w:t>
            </w:r>
          </w:p>
          <w:p w14:paraId="3A1C0F08" w14:textId="1E911A84"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lastRenderedPageBreak/>
              <w:t>„На база краен риск“ означава, че за да се определи дали дадено вземане е трансгранично или местно, позицията се отрежда на трета страна — ако има такава, която е сключила договор за поемане на дълговете или задълженията на основния контрагент, ако последният не изпълни задълженията си. Това отреждане се прави съобразно разпоредбите относно прехвърлянето на риск, предвидени в насоките за докладване на събираните от БМР статистически данни за международната банкова дейност.</w:t>
            </w:r>
          </w:p>
        </w:tc>
      </w:tr>
      <w:tr w:rsidR="001B7EDC" w:rsidRPr="00457CC5" w14:paraId="33C28A8A" w14:textId="77777777" w:rsidTr="00D731E3">
        <w:tc>
          <w:tcPr>
            <w:tcW w:w="1129" w:type="dxa"/>
          </w:tcPr>
          <w:p w14:paraId="310D6463" w14:textId="0BD4FBE8"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lastRenderedPageBreak/>
              <w:t>0150</w:t>
            </w:r>
          </w:p>
        </w:tc>
        <w:tc>
          <w:tcPr>
            <w:tcW w:w="7620" w:type="dxa"/>
          </w:tcPr>
          <w:p w14:paraId="370543F2" w14:textId="525560C3" w:rsidR="00461B95"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Чуждестранни вземания по деривати на база краен риск</w:t>
            </w:r>
          </w:p>
          <w:p w14:paraId="0B6542C2" w14:textId="05BEA67B"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 xml:space="preserve">Положителната справедлива стойност на всички вземания по деривати, които са чуждестранни или местни вземания на филиалите в чужбина в местна или чуждестранна валута. </w:t>
            </w:r>
          </w:p>
          <w:p w14:paraId="3184A088" w14:textId="12521FD1"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Дериватите включват форуърди, суапове и опции върху валутни операции, лихвен процент, акции, стоки и кредитни инструменти. Тук спадат закупените кредитни деривати, които хеджират или се прихващат срещу продадена кредитна защита, или се държат за търгуване.</w:t>
            </w:r>
          </w:p>
          <w:p w14:paraId="1C0B5693" w14:textId="3CF27F9A"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 xml:space="preserve">Стойността на такива закупени кредитни деривати не се ограничава до стойността на непосредственото вземане, за гарантирането на което са били закупени. </w:t>
            </w:r>
          </w:p>
          <w:p w14:paraId="1BF6CB23" w14:textId="02D1A7F7"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 xml:space="preserve">Положителните справедливи стойности на договорите за деривати могат да се прихващат срещу отрицателните справедливи стойности само ако позициите са били изпълнени с един и същ контрагент по правно обвързващо споразумение за нетиране. Тази позиция съдържа само нетиращите съвкупности с положителна стойност. </w:t>
            </w:r>
          </w:p>
          <w:p w14:paraId="1D1D95FC" w14:textId="740A6A60"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 xml:space="preserve">Вземанията по деривати се докладват, без да се взимат предвид евентуални парични обезпечения. </w:t>
            </w:r>
          </w:p>
          <w:p w14:paraId="57A0BD55" w14:textId="6F964D06"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За целите на предоставянето на информация на база краен риск се прилага следното:</w:t>
            </w:r>
          </w:p>
          <w:p w14:paraId="11BDA188" w14:textId="0341E5B8" w:rsidR="00461B95" w:rsidRPr="00457CC5" w:rsidRDefault="00461B95" w:rsidP="002E755B">
            <w:pPr>
              <w:pStyle w:val="InstructionsText"/>
              <w:numPr>
                <w:ilvl w:val="0"/>
                <w:numId w:val="26"/>
              </w:numPr>
              <w:rPr>
                <w:rStyle w:val="FormatvorlageInstructionsTabelleText"/>
                <w:rFonts w:ascii="Times New Roman" w:hAnsi="Times New Roman"/>
                <w:sz w:val="24"/>
              </w:rPr>
            </w:pPr>
            <w:r w:rsidRPr="00457CC5">
              <w:rPr>
                <w:rStyle w:val="FormatvorlageInstructionsTabelleText"/>
                <w:rFonts w:ascii="Times New Roman" w:hAnsi="Times New Roman"/>
                <w:sz w:val="24"/>
              </w:rPr>
              <w:t xml:space="preserve">Когато крайният риск е при контрагента, дериватът се приема за чуждестранен, ако контрагентът не е в юрисдикцията, в която е установен докладващият субект. </w:t>
            </w:r>
          </w:p>
          <w:p w14:paraId="4EE29D54" w14:textId="43C9DF9A" w:rsidR="00461B95" w:rsidRPr="00457CC5" w:rsidRDefault="00461B95" w:rsidP="002E755B">
            <w:pPr>
              <w:pStyle w:val="InstructionsText"/>
              <w:numPr>
                <w:ilvl w:val="0"/>
                <w:numId w:val="26"/>
              </w:numPr>
              <w:rPr>
                <w:rStyle w:val="FormatvorlageInstructionsTabelleText"/>
                <w:rFonts w:ascii="Times New Roman" w:hAnsi="Times New Roman"/>
                <w:sz w:val="24"/>
              </w:rPr>
            </w:pPr>
            <w:r w:rsidRPr="00457CC5">
              <w:rPr>
                <w:rStyle w:val="FormatvorlageInstructionsTabelleText"/>
                <w:rFonts w:ascii="Times New Roman" w:hAnsi="Times New Roman"/>
                <w:sz w:val="24"/>
              </w:rPr>
              <w:t>Когато крайният риск е при гаранта, дериватът се приема за чуждестранен, ако гарантът не е в юрисдикцията, в която е установен докладващият субект.</w:t>
            </w:r>
          </w:p>
        </w:tc>
      </w:tr>
      <w:tr w:rsidR="001B7EDC" w:rsidRPr="00457CC5" w14:paraId="35AEB6DF" w14:textId="77777777" w:rsidTr="00D731E3">
        <w:tc>
          <w:tcPr>
            <w:tcW w:w="1129" w:type="dxa"/>
          </w:tcPr>
          <w:p w14:paraId="1B78021A" w14:textId="185021E5"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0160</w:t>
            </w:r>
          </w:p>
        </w:tc>
        <w:tc>
          <w:tcPr>
            <w:tcW w:w="7620" w:type="dxa"/>
          </w:tcPr>
          <w:p w14:paraId="4AFA7D61" w14:textId="553941DC" w:rsidR="00461B95" w:rsidRPr="00457CC5" w:rsidRDefault="00461B95" w:rsidP="002E755B">
            <w:pPr>
              <w:pStyle w:val="InstructionsText"/>
              <w:rPr>
                <w:rStyle w:val="InstructionsTabelleberschrift"/>
                <w:rFonts w:ascii="Times New Roman" w:hAnsi="Times New Roman"/>
                <w:sz w:val="24"/>
              </w:rPr>
            </w:pPr>
            <w:r w:rsidRPr="00457CC5">
              <w:rPr>
                <w:rStyle w:val="InstructionsTabelleberschrift"/>
                <w:rFonts w:ascii="Times New Roman" w:hAnsi="Times New Roman"/>
                <w:sz w:val="24"/>
              </w:rPr>
              <w:t>Чуждестранни задължения на база непосредствен риск, в т.ч. по деривати</w:t>
            </w:r>
          </w:p>
          <w:p w14:paraId="2232ACAE" w14:textId="04EC1144"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Чуждестранните задължения, в т.ч. по деривати, са сборът на чуждестранните задължения и чуждестранните задължения, произтичащи от деривати. Тази позиция не съдържа задълженията по ценни книжа, които са търгуеми финансови активи, емитирани от докладващата институция.</w:t>
            </w:r>
          </w:p>
          <w:p w14:paraId="253FB5E8" w14:textId="6CB78169"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Дефиницията за деривати е същата като приложимата за ред 0150.</w:t>
            </w:r>
          </w:p>
          <w:p w14:paraId="3AF86A8E" w14:textId="6F1C95F2"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 xml:space="preserve">Отрицателните справедливи стойности на договорите за деривати могат да се прихващат срещу положителните справедливи стойности само ако </w:t>
            </w:r>
            <w:r w:rsidRPr="00457CC5">
              <w:rPr>
                <w:rStyle w:val="FormatvorlageInstructionsTabelleText"/>
                <w:rFonts w:ascii="Times New Roman" w:hAnsi="Times New Roman"/>
                <w:sz w:val="24"/>
              </w:rPr>
              <w:lastRenderedPageBreak/>
              <w:t xml:space="preserve">позициите са били изпълнени с един и същ контрагент по правно обвързващо споразумение за нетиране. Задълженията по деривати се докладват, без да се взимат предвид евентуални обезпечения (парични и непарични). </w:t>
            </w:r>
          </w:p>
          <w:p w14:paraId="2F888DBB" w14:textId="6323776F" w:rsidR="00461B95" w:rsidRPr="00457CC5" w:rsidRDefault="00461B95" w:rsidP="002E755B">
            <w:pPr>
              <w:pStyle w:val="InstructionsText"/>
              <w:rPr>
                <w:rStyle w:val="FormatvorlageInstructionsTabelleText"/>
                <w:rFonts w:ascii="Times New Roman" w:hAnsi="Times New Roman"/>
                <w:sz w:val="24"/>
              </w:rPr>
            </w:pPr>
            <w:r w:rsidRPr="00457CC5">
              <w:rPr>
                <w:rStyle w:val="FormatvorlageInstructionsTabelleText"/>
                <w:rFonts w:ascii="Times New Roman" w:hAnsi="Times New Roman"/>
                <w:sz w:val="24"/>
              </w:rPr>
              <w:t>„На база непосредствен риска“ означава, че за да се определи дали дадено вземане е трансгранично или местно, позицията се отрежда на прекия контрагент по договора.</w:t>
            </w:r>
          </w:p>
        </w:tc>
      </w:tr>
      <w:bookmarkEnd w:id="0"/>
      <w:bookmarkEnd w:id="1"/>
    </w:tbl>
    <w:p w14:paraId="61DBD972" w14:textId="77777777" w:rsidR="00DD00B4" w:rsidRPr="00457CC5" w:rsidRDefault="00DD00B4" w:rsidP="006137FD">
      <w:pPr>
        <w:spacing w:after="0"/>
        <w:rPr>
          <w:rStyle w:val="InstructionsTabelleText"/>
          <w:rFonts w:ascii="Times New Roman" w:hAnsi="Times New Roman"/>
          <w:sz w:val="24"/>
        </w:rPr>
      </w:pPr>
    </w:p>
    <w:sectPr w:rsidR="00DD00B4" w:rsidRPr="00457CC5"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за изменение на Директива 2002/87/ЕО и за отмяна на директиви 2006/48/ЕО и 2006/49/ЕО (ОВ L 176, 27.6.2013 г., стр.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Делегиран регламент (ЕС) № 1222/2014 на Комисията от 8 октомври 2014 г. за допълване на Директива 2013/36/ЕС на Европейския парламент и на Съвета по отношение на регулаторните технически стандарти за уточняване на методиката за определяне на глобалните системно значими институции и за определяне на подкатегориите глобални институции със системно значение (ОВ L 330, 15.11.2014 г., стр. 27).</w:t>
      </w:r>
    </w:p>
  </w:footnote>
  <w:footnote w:id="4">
    <w:p w14:paraId="7E81C75F" w14:textId="7AFAACB8" w:rsidR="00461B95" w:rsidRPr="002E755B" w:rsidRDefault="00461B95">
      <w:pPr>
        <w:pStyle w:val="FootnoteText"/>
        <w:rPr>
          <w:rFonts w:ascii="Times New Roman" w:hAnsi="Times New Roman"/>
          <w:sz w:val="20"/>
          <w:szCs w:val="20"/>
        </w:rPr>
      </w:pPr>
      <w:r>
        <w:rPr>
          <w:rStyle w:val="FootnoteReference"/>
        </w:rPr>
        <w:footnoteRef/>
      </w:r>
      <w:r>
        <w:t xml:space="preserve"> </w:t>
      </w:r>
      <w:r w:rsidRPr="002E755B">
        <w:rPr>
          <w:rFonts w:ascii="Times New Roman" w:hAnsi="Times New Roman"/>
          <w:sz w:val="20"/>
          <w:szCs w:val="20"/>
        </w:rPr>
        <w:t>Регламент (ЕС) № 806/2014 на Европейския парламент и на Съвета от 15 юли 2014 г. за установяването на еднообразни правила и еднообразна процедура за преструктурирането на кредитни институции и някои инвестиционни посредници в рамките на Единния механизъм за преструктуриране и Единния фонд за преструктуриране и за изменение на Регламент (ЕС) № 1093/2010 (ОВ L 225, 30.7.2014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A24106D"/>
    <w:multiLevelType w:val="hybridMultilevel"/>
    <w:tmpl w:val="C520E5AE"/>
    <w:lvl w:ilvl="0" w:tplc="58DC475E">
      <w:start w:val="1"/>
      <mc:AlternateContent>
        <mc:Choice Requires="w14">
          <w:numFmt w:val="custom" w:format="а, й, к, ..."/>
        </mc:Choice>
        <mc:Fallback>
          <w:numFmt w:val="decimal"/>
        </mc:Fallback>
      </mc:AlternateContent>
      <w:lvlText w:val="%1)"/>
      <w:lvlJc w:val="left"/>
      <w:pPr>
        <w:ind w:left="360" w:hanging="360"/>
      </w:pPr>
      <w:rPr>
        <w:rFonts w:ascii="Times New Roman" w:hAnsi="Times New Roman" w:cs="Times New Roman" w:hint="default"/>
        <w:b w:val="0"/>
        <w:bCs w:val="0"/>
        <w:i w:val="0"/>
        <w:iCs w:val="0"/>
        <w:spacing w:val="-1"/>
        <w:w w:val="9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F7D7F02"/>
    <w:multiLevelType w:val="multilevel"/>
    <w:tmpl w:val="0407001D"/>
    <w:numStyleLink w:val="Formatvorlage3"/>
  </w:abstractNum>
  <w:abstractNum w:abstractNumId="6"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6285215">
    <w:abstractNumId w:val="0"/>
  </w:num>
  <w:num w:numId="2" w16cid:durableId="1904950787">
    <w:abstractNumId w:val="14"/>
  </w:num>
  <w:num w:numId="3" w16cid:durableId="456408425">
    <w:abstractNumId w:val="20"/>
  </w:num>
  <w:num w:numId="4" w16cid:durableId="1676565231">
    <w:abstractNumId w:val="10"/>
  </w:num>
  <w:num w:numId="5" w16cid:durableId="1823695944">
    <w:abstractNumId w:val="17"/>
  </w:num>
  <w:num w:numId="6" w16cid:durableId="1020158904">
    <w:abstractNumId w:val="9"/>
  </w:num>
  <w:num w:numId="7" w16cid:durableId="791480951">
    <w:abstractNumId w:val="19"/>
  </w:num>
  <w:num w:numId="8" w16cid:durableId="2084791215">
    <w:abstractNumId w:val="3"/>
  </w:num>
  <w:num w:numId="9" w16cid:durableId="981155644">
    <w:abstractNumId w:val="15"/>
  </w:num>
  <w:num w:numId="10" w16cid:durableId="1034040575">
    <w:abstractNumId w:val="8"/>
  </w:num>
  <w:num w:numId="11" w16cid:durableId="717903140">
    <w:abstractNumId w:val="12"/>
  </w:num>
  <w:num w:numId="12" w16cid:durableId="1381053283">
    <w:abstractNumId w:val="4"/>
  </w:num>
  <w:num w:numId="13" w16cid:durableId="2102411235">
    <w:abstractNumId w:val="16"/>
  </w:num>
  <w:num w:numId="14" w16cid:durableId="532110208">
    <w:abstractNumId w:val="13"/>
  </w:num>
  <w:num w:numId="15" w16cid:durableId="673529661">
    <w:abstractNumId w:val="6"/>
  </w:num>
  <w:num w:numId="16" w16cid:durableId="1958029138">
    <w:abstractNumId w:val="11"/>
  </w:num>
  <w:num w:numId="17" w16cid:durableId="786656495">
    <w:abstractNumId w:val="5"/>
  </w:num>
  <w:num w:numId="18" w16cid:durableId="1977443499">
    <w:abstractNumId w:val="18"/>
  </w:num>
  <w:num w:numId="19" w16cid:durableId="612319837">
    <w:abstractNumId w:val="1"/>
  </w:num>
  <w:num w:numId="20" w16cid:durableId="1120760509">
    <w:abstractNumId w:val="7"/>
  </w:num>
  <w:num w:numId="21" w16cid:durableId="3633847">
    <w:abstractNumId w:val="6"/>
  </w:num>
  <w:num w:numId="22" w16cid:durableId="1495074160">
    <w:abstractNumId w:val="16"/>
  </w:num>
  <w:num w:numId="23" w16cid:durableId="262343912">
    <w:abstractNumId w:val="16"/>
  </w:num>
  <w:num w:numId="24" w16cid:durableId="1983725737">
    <w:abstractNumId w:val="16"/>
  </w:num>
  <w:num w:numId="25" w16cid:durableId="130372293">
    <w:abstractNumId w:val="16"/>
  </w:num>
  <w:num w:numId="26" w16cid:durableId="1729838956">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E755B"/>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57CC5"/>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100"/>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E755B"/>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E755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3DAEB979-D762-4AF6-9900-4572B936D346}"/>
</file>

<file path=customXml/itemProps3.xml><?xml version="1.0" encoding="utf-8"?>
<ds:datastoreItem xmlns:ds="http://schemas.openxmlformats.org/officeDocument/2006/customXml" ds:itemID="{E37CA9E6-7791-4193-8646-315C97896540}"/>
</file>

<file path=customXml/itemProps4.xml><?xml version="1.0" encoding="utf-8"?>
<ds:datastoreItem xmlns:ds="http://schemas.openxmlformats.org/officeDocument/2006/customXml" ds:itemID="{221AB0C3-5C97-491B-82A0-7DCCFD3B8E23}"/>
</file>

<file path=docProps/app.xml><?xml version="1.0" encoding="utf-8"?>
<Properties xmlns="http://schemas.openxmlformats.org/officeDocument/2006/extended-properties" xmlns:vt="http://schemas.openxmlformats.org/officeDocument/2006/docPropsVTypes">
  <Template>Normal</Template>
  <TotalTime>0</TotalTime>
  <Pages>6</Pages>
  <Words>1242</Words>
  <Characters>7961</Characters>
  <Application>Microsoft Office Word</Application>
  <DocSecurity>0</DocSecurity>
  <Lines>189</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2025-01-27T14:01:23Z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af4a2b58-aa65-4858-8011-15350484e401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